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0A979">
      <w:pPr>
        <w:pBdr>
          <w:top w:val="single" w:color="auto" w:sz="4" w:space="5"/>
          <w:left w:val="single" w:color="auto" w:sz="4" w:space="4"/>
          <w:bottom w:val="single" w:color="auto" w:sz="4" w:space="1"/>
          <w:right w:val="single" w:color="auto" w:sz="4" w:space="4"/>
        </w:pBdr>
        <w:ind w:left="-567" w:right="-58"/>
        <w:jc w:val="both"/>
        <w:rPr>
          <w:b/>
          <w:sz w:val="24"/>
        </w:rPr>
      </w:pPr>
      <w:r>
        <w:rPr>
          <w:b/>
          <w:sz w:val="24"/>
        </w:rPr>
        <w:t xml:space="preserve">Что такое </w:t>
      </w:r>
      <w:r>
        <w:rPr>
          <w:b/>
          <w:bCs/>
          <w:sz w:val="24"/>
        </w:rPr>
        <w:t>Самарий, </w:t>
      </w:r>
      <w:r>
        <w:rPr>
          <w:b/>
          <w:bCs/>
          <w:sz w:val="24"/>
          <w:vertAlign w:val="superscript"/>
        </w:rPr>
        <w:t>153</w:t>
      </w:r>
      <w:r>
        <w:rPr>
          <w:b/>
          <w:bCs/>
          <w:sz w:val="24"/>
        </w:rPr>
        <w:t>Sm оксабифор</w:t>
      </w:r>
      <w:r>
        <w:rPr>
          <w:b/>
          <w:sz w:val="24"/>
        </w:rPr>
        <w:t>?</w:t>
      </w:r>
      <w:bookmarkStart w:id="0" w:name="_GoBack"/>
      <w:bookmarkEnd w:id="0"/>
    </w:p>
    <w:p w14:paraId="62675D72">
      <w:pPr>
        <w:ind w:left="-567" w:right="-58"/>
        <w:jc w:val="both"/>
        <w:rPr>
          <w:sz w:val="24"/>
        </w:rPr>
      </w:pPr>
    </w:p>
    <w:p w14:paraId="6A71A237">
      <w:pPr>
        <w:ind w:left="-567" w:right="-58"/>
        <w:jc w:val="both"/>
        <w:rPr>
          <w:sz w:val="24"/>
        </w:rPr>
      </w:pPr>
      <w:r>
        <w:rPr>
          <w:b/>
          <w:bCs/>
          <w:sz w:val="24"/>
        </w:rPr>
        <w:t xml:space="preserve">Самарий, </w:t>
      </w:r>
      <w:r>
        <w:rPr>
          <w:b/>
          <w:bCs/>
          <w:sz w:val="24"/>
          <w:vertAlign w:val="superscript"/>
        </w:rPr>
        <w:t>153</w:t>
      </w:r>
      <w:r>
        <w:rPr>
          <w:b/>
          <w:bCs/>
          <w:sz w:val="24"/>
        </w:rPr>
        <w:t xml:space="preserve">Sm оксабифор </w:t>
      </w:r>
      <w:r>
        <w:rPr>
          <w:sz w:val="24"/>
        </w:rPr>
        <w:t xml:space="preserve">представляет собой лекарственный препарат для инъекционного введения, который применяется для купирования боли в костях. </w:t>
      </w:r>
      <w:r>
        <w:rPr>
          <w:b/>
          <w:bCs/>
          <w:sz w:val="24"/>
        </w:rPr>
        <w:t xml:space="preserve">Самарий, </w:t>
      </w:r>
      <w:r>
        <w:rPr>
          <w:b/>
          <w:bCs/>
          <w:sz w:val="24"/>
          <w:vertAlign w:val="superscript"/>
        </w:rPr>
        <w:t>153</w:t>
      </w:r>
      <w:r>
        <w:rPr>
          <w:b/>
          <w:bCs/>
          <w:sz w:val="24"/>
        </w:rPr>
        <w:t xml:space="preserve">Sm оксабифор </w:t>
      </w:r>
      <w:r>
        <w:rPr>
          <w:sz w:val="24"/>
        </w:rPr>
        <w:t>обладает способностью избирательно накапливаться в метастатических очагах в костной ткани. Благодаря наличию в своем составе радионуклида самарий-153, испускающему бета-частицы, препарат воздействует на клетки метастатического очага и окружающие его нервные окончания, вызывая одновременно обезболивающий и антипролиферативный эффект, тормозя развитие метастаза. </w:t>
      </w:r>
    </w:p>
    <w:p w14:paraId="7B677180">
      <w:pPr>
        <w:ind w:left="-567" w:right="-58"/>
        <w:jc w:val="both"/>
        <w:rPr>
          <w:sz w:val="24"/>
        </w:rPr>
      </w:pPr>
    </w:p>
    <w:p w14:paraId="1283262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-567" w:right="-58"/>
        <w:jc w:val="both"/>
        <w:rPr>
          <w:b/>
          <w:sz w:val="24"/>
        </w:rPr>
      </w:pPr>
      <w:r>
        <w:rPr>
          <w:b/>
          <w:sz w:val="24"/>
        </w:rPr>
        <w:t>Существуют ли какие-либо побочные эффекты?</w:t>
      </w:r>
    </w:p>
    <w:p w14:paraId="4D8E2B74">
      <w:pPr>
        <w:ind w:left="-567" w:right="-58"/>
        <w:jc w:val="both"/>
        <w:rPr>
          <w:sz w:val="24"/>
        </w:rPr>
      </w:pPr>
    </w:p>
    <w:p w14:paraId="24D240AD">
      <w:pPr>
        <w:ind w:left="-567" w:right="-58"/>
        <w:jc w:val="both"/>
        <w:rPr>
          <w:sz w:val="24"/>
        </w:rPr>
      </w:pPr>
      <w:r>
        <w:rPr>
          <w:sz w:val="24"/>
        </w:rPr>
        <w:t>Нет. Вы можете употреблять обычную пищу и питье, включая алкоголь, кроме случаев, когда Вам специально скажет об этом доктор. Может наблюдаться некоторое снижение количества кровяных клеток, и Вам будет назначен общий анализ крови для контроля. Это является нормой. Если у Вас возникнут какие-либо беспокойства, Вам следует обсудить это со своим врачом.</w:t>
      </w:r>
    </w:p>
    <w:p w14:paraId="1F59D698">
      <w:pPr>
        <w:ind w:left="-567" w:right="-58"/>
        <w:jc w:val="both"/>
        <w:rPr>
          <w:sz w:val="24"/>
        </w:rPr>
      </w:pPr>
    </w:p>
    <w:p w14:paraId="52B640A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-567" w:right="-58"/>
        <w:jc w:val="both"/>
        <w:rPr>
          <w:b/>
          <w:sz w:val="24"/>
        </w:rPr>
      </w:pPr>
      <w:r>
        <w:rPr>
          <w:b/>
          <w:sz w:val="24"/>
        </w:rPr>
        <w:t>Следует ли мне прекратить прием анальгетиков?</w:t>
      </w:r>
    </w:p>
    <w:p w14:paraId="47F5EC23">
      <w:pPr>
        <w:ind w:left="-567" w:right="-58"/>
        <w:jc w:val="both"/>
        <w:rPr>
          <w:sz w:val="24"/>
        </w:rPr>
      </w:pPr>
    </w:p>
    <w:p w14:paraId="6F8DE5D6">
      <w:pPr>
        <w:ind w:left="-567" w:right="-58"/>
        <w:jc w:val="both"/>
        <w:rPr>
          <w:sz w:val="24"/>
        </w:rPr>
      </w:pPr>
      <w:r>
        <w:rPr>
          <w:sz w:val="24"/>
        </w:rPr>
        <w:t>Врач может рекомендовать Вам продолжить прием анальгетиков до тех пор, пока боль не начнет уменьшаться. Затем Вы можете постепенно сокращать дозу этих препаратов иногда до полной отмены. Если у Вас появятся сомнения, свяжитесь со своим врачом.</w:t>
      </w:r>
    </w:p>
    <w:p w14:paraId="61B1A87B">
      <w:pPr>
        <w:ind w:left="-567" w:right="-58"/>
        <w:jc w:val="both"/>
        <w:rPr>
          <w:sz w:val="24"/>
        </w:rPr>
      </w:pPr>
    </w:p>
    <w:p w14:paraId="4A67AE4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-567" w:right="-58"/>
        <w:jc w:val="both"/>
        <w:rPr>
          <w:b/>
          <w:sz w:val="24"/>
        </w:rPr>
      </w:pPr>
      <w:r>
        <w:rPr>
          <w:b/>
          <w:sz w:val="24"/>
        </w:rPr>
        <w:t>Можно ли получать другие виды лечения?</w:t>
      </w:r>
    </w:p>
    <w:p w14:paraId="79D72592">
      <w:pPr>
        <w:ind w:left="-567" w:right="-58"/>
        <w:jc w:val="both"/>
        <w:rPr>
          <w:sz w:val="24"/>
        </w:rPr>
      </w:pPr>
    </w:p>
    <w:p w14:paraId="158A5DC7">
      <w:pPr>
        <w:ind w:left="-567" w:right="-58"/>
        <w:jc w:val="both"/>
        <w:rPr>
          <w:sz w:val="24"/>
        </w:rPr>
      </w:pPr>
      <w:r>
        <w:rPr>
          <w:sz w:val="24"/>
        </w:rPr>
        <w:t>Врач при необходимости другого лечения скажет Вам об этом. Вы можете продолжать получать инъекции гормонов или другие препараты, если это нужно.</w:t>
      </w:r>
    </w:p>
    <w:p w14:paraId="30FCFD6F">
      <w:pPr>
        <w:ind w:left="-567" w:right="-58"/>
        <w:jc w:val="both"/>
        <w:rPr>
          <w:sz w:val="24"/>
        </w:rPr>
      </w:pPr>
    </w:p>
    <w:p w14:paraId="5657A76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-567" w:right="-58"/>
        <w:jc w:val="both"/>
        <w:rPr>
          <w:b/>
          <w:sz w:val="24"/>
        </w:rPr>
      </w:pPr>
      <w:r>
        <w:rPr>
          <w:b/>
          <w:sz w:val="24"/>
        </w:rPr>
        <w:t>Чем я могу заниматься?</w:t>
      </w:r>
    </w:p>
    <w:p w14:paraId="470D2960">
      <w:pPr>
        <w:ind w:left="-567" w:right="-58"/>
        <w:jc w:val="both"/>
        <w:rPr>
          <w:b/>
          <w:sz w:val="24"/>
        </w:rPr>
      </w:pPr>
    </w:p>
    <w:p w14:paraId="009B74B6">
      <w:pPr>
        <w:ind w:left="-567" w:right="-58"/>
        <w:jc w:val="both"/>
        <w:rPr>
          <w:sz w:val="24"/>
        </w:rPr>
      </w:pPr>
      <w:r>
        <w:rPr>
          <w:sz w:val="24"/>
        </w:rPr>
        <w:t xml:space="preserve">Введение препарата не ограничивает никакой деятельности, которой Вы занимались. Как только </w:t>
      </w:r>
      <w:r>
        <w:rPr>
          <w:b/>
          <w:bCs/>
          <w:sz w:val="24"/>
        </w:rPr>
        <w:t>Самарий, </w:t>
      </w:r>
      <w:r>
        <w:rPr>
          <w:b/>
          <w:bCs/>
          <w:sz w:val="24"/>
          <w:vertAlign w:val="superscript"/>
        </w:rPr>
        <w:t>153</w:t>
      </w:r>
      <w:r>
        <w:rPr>
          <w:b/>
          <w:bCs/>
          <w:sz w:val="24"/>
        </w:rPr>
        <w:t>Sm оксабифор</w:t>
      </w:r>
      <w:r>
        <w:rPr>
          <w:sz w:val="24"/>
        </w:rPr>
        <w:t xml:space="preserve"> начнет действовать, Вы почувствуете, что можете быть более активным и делать то, что раньше не могли по причине сильной боли. Обычно при этом никаких проблем не возникает, однако все же соблюдайте осторожность. Если возникнут какие-либо беспокойства, обратитесь к врачу. </w:t>
      </w:r>
      <w:r>
        <w:rPr>
          <w:b/>
          <w:bCs/>
          <w:sz w:val="24"/>
        </w:rPr>
        <w:t>Самарий, </w:t>
      </w:r>
      <w:r>
        <w:rPr>
          <w:b/>
          <w:bCs/>
          <w:sz w:val="24"/>
          <w:vertAlign w:val="superscript"/>
        </w:rPr>
        <w:t>153</w:t>
      </w:r>
      <w:r>
        <w:rPr>
          <w:b/>
          <w:bCs/>
          <w:sz w:val="24"/>
        </w:rPr>
        <w:t>Sm оксабифор</w:t>
      </w:r>
      <w:r>
        <w:rPr>
          <w:sz w:val="24"/>
        </w:rPr>
        <w:t xml:space="preserve"> не влияет на способность водить машину или использовать другую технику.</w:t>
      </w:r>
    </w:p>
    <w:p w14:paraId="1F202E11">
      <w:pPr>
        <w:ind w:left="-567" w:right="-58"/>
        <w:jc w:val="both"/>
        <w:rPr>
          <w:sz w:val="24"/>
        </w:rPr>
      </w:pPr>
    </w:p>
    <w:p w14:paraId="46D26A9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-567" w:right="-58"/>
        <w:jc w:val="both"/>
        <w:rPr>
          <w:b/>
          <w:sz w:val="24"/>
        </w:rPr>
      </w:pPr>
      <w:r>
        <w:rPr>
          <w:b/>
          <w:sz w:val="24"/>
        </w:rPr>
        <w:t>Какие меры предосторожности мне следует соблюдать?</w:t>
      </w:r>
    </w:p>
    <w:p w14:paraId="38B8EC45">
      <w:pPr>
        <w:ind w:left="-567" w:right="-58"/>
        <w:jc w:val="both"/>
        <w:rPr>
          <w:sz w:val="24"/>
        </w:rPr>
      </w:pPr>
    </w:p>
    <w:p w14:paraId="5D0609C3">
      <w:pPr>
        <w:ind w:left="-567" w:right="-58"/>
        <w:jc w:val="both"/>
        <w:rPr>
          <w:sz w:val="24"/>
        </w:rPr>
      </w:pPr>
      <w:r>
        <w:rPr>
          <w:sz w:val="24"/>
        </w:rPr>
        <w:t xml:space="preserve">Действие </w:t>
      </w:r>
      <w:r>
        <w:rPr>
          <w:b/>
          <w:bCs/>
          <w:sz w:val="24"/>
        </w:rPr>
        <w:t>Самарий, </w:t>
      </w:r>
      <w:r>
        <w:rPr>
          <w:b/>
          <w:bCs/>
          <w:sz w:val="24"/>
          <w:vertAlign w:val="superscript"/>
        </w:rPr>
        <w:t>153</w:t>
      </w:r>
      <w:r>
        <w:rPr>
          <w:b/>
          <w:bCs/>
          <w:sz w:val="24"/>
        </w:rPr>
        <w:t>Sm оксабифор</w:t>
      </w:r>
      <w:r>
        <w:rPr>
          <w:sz w:val="24"/>
        </w:rPr>
        <w:t xml:space="preserve"> внутри Вашего тела ограничено патологическими очагами, в которых он концентрируется, поэтому нет никакой опасности для окружающих при контакте.</w:t>
      </w:r>
    </w:p>
    <w:p w14:paraId="20C8076B">
      <w:pPr>
        <w:ind w:left="-567" w:right="-58"/>
        <w:jc w:val="both"/>
        <w:rPr>
          <w:sz w:val="24"/>
        </w:rPr>
      </w:pPr>
    </w:p>
    <w:p w14:paraId="785DC804">
      <w:pPr>
        <w:ind w:left="-567" w:right="-58"/>
        <w:jc w:val="both"/>
        <w:rPr>
          <w:sz w:val="24"/>
        </w:rPr>
      </w:pPr>
      <w:r>
        <w:rPr>
          <w:sz w:val="24"/>
          <w:u w:val="single"/>
        </w:rPr>
        <w:t>Следует помнить!</w:t>
      </w:r>
      <w:r>
        <w:rPr>
          <w:sz w:val="24"/>
        </w:rPr>
        <w:t xml:space="preserve"> В течение первой недели после инъекции </w:t>
      </w:r>
      <w:r>
        <w:rPr>
          <w:b/>
          <w:bCs/>
          <w:sz w:val="24"/>
        </w:rPr>
        <w:t>Самарий, </w:t>
      </w:r>
      <w:r>
        <w:rPr>
          <w:b/>
          <w:bCs/>
          <w:sz w:val="24"/>
          <w:vertAlign w:val="superscript"/>
        </w:rPr>
        <w:t>153</w:t>
      </w:r>
      <w:r>
        <w:rPr>
          <w:b/>
          <w:bCs/>
          <w:sz w:val="24"/>
        </w:rPr>
        <w:t>Sm оксабифор</w:t>
      </w:r>
      <w:r>
        <w:rPr>
          <w:sz w:val="24"/>
        </w:rPr>
        <w:t xml:space="preserve"> присутствует в крови и моче. Поэтому важно соблюдать следующие меры предосторожности:</w:t>
      </w:r>
    </w:p>
    <w:p w14:paraId="321CA8BD">
      <w:pPr>
        <w:ind w:left="-567" w:right="-58"/>
        <w:jc w:val="both"/>
        <w:rPr>
          <w:sz w:val="24"/>
        </w:rPr>
      </w:pPr>
    </w:p>
    <w:p w14:paraId="3F506E81">
      <w:pPr>
        <w:numPr>
          <w:ilvl w:val="0"/>
          <w:numId w:val="1"/>
        </w:numPr>
        <w:tabs>
          <w:tab w:val="left" w:pos="-567"/>
          <w:tab w:val="clear" w:pos="360"/>
        </w:tabs>
        <w:ind w:left="-567" w:right="-58" w:firstLine="0"/>
        <w:jc w:val="both"/>
        <w:rPr>
          <w:sz w:val="24"/>
        </w:rPr>
      </w:pPr>
      <w:r>
        <w:rPr>
          <w:sz w:val="24"/>
        </w:rPr>
        <w:t>по возможности пользоваться обычным туалетом, а не писсуаром и дважды смывать водой.</w:t>
      </w:r>
    </w:p>
    <w:p w14:paraId="767A0468">
      <w:pPr>
        <w:numPr>
          <w:ilvl w:val="0"/>
          <w:numId w:val="2"/>
        </w:numPr>
        <w:tabs>
          <w:tab w:val="left" w:pos="-567"/>
          <w:tab w:val="clear" w:pos="360"/>
        </w:tabs>
        <w:spacing w:before="120"/>
        <w:ind w:left="-567" w:right="-57" w:firstLine="0"/>
        <w:jc w:val="both"/>
        <w:rPr>
          <w:sz w:val="24"/>
        </w:rPr>
      </w:pPr>
      <w:r>
        <w:rPr>
          <w:sz w:val="24"/>
        </w:rPr>
        <w:t>стереть капли мочи тряпкой и выбросить ее.</w:t>
      </w:r>
    </w:p>
    <w:p w14:paraId="0A54492F">
      <w:pPr>
        <w:numPr>
          <w:ilvl w:val="0"/>
          <w:numId w:val="3"/>
        </w:numPr>
        <w:tabs>
          <w:tab w:val="left" w:pos="-567"/>
          <w:tab w:val="clear" w:pos="360"/>
        </w:tabs>
        <w:spacing w:before="120"/>
        <w:ind w:left="-567" w:right="-57" w:firstLine="0"/>
        <w:jc w:val="both"/>
        <w:rPr>
          <w:sz w:val="24"/>
        </w:rPr>
      </w:pPr>
      <w:r>
        <w:rPr>
          <w:sz w:val="24"/>
        </w:rPr>
        <w:t>всегда мыть руки после туалета.</w:t>
      </w:r>
    </w:p>
    <w:p w14:paraId="193451D6">
      <w:pPr>
        <w:numPr>
          <w:ilvl w:val="0"/>
          <w:numId w:val="3"/>
        </w:numPr>
        <w:tabs>
          <w:tab w:val="left" w:pos="-567"/>
          <w:tab w:val="clear" w:pos="360"/>
        </w:tabs>
        <w:spacing w:before="120"/>
        <w:ind w:left="-567" w:right="-57" w:firstLine="0"/>
        <w:jc w:val="both"/>
        <w:rPr>
          <w:sz w:val="24"/>
        </w:rPr>
      </w:pPr>
      <w:r>
        <w:rPr>
          <w:sz w:val="24"/>
        </w:rPr>
        <w:t>Немедленно выстирать загрязненное мочой белье или одежду отдельно от другого белья и тщательно прополоскать.</w:t>
      </w:r>
    </w:p>
    <w:p w14:paraId="2AFB76A7">
      <w:pPr>
        <w:numPr>
          <w:ilvl w:val="0"/>
          <w:numId w:val="4"/>
        </w:numPr>
        <w:tabs>
          <w:tab w:val="left" w:pos="-567"/>
          <w:tab w:val="clear" w:pos="360"/>
        </w:tabs>
        <w:spacing w:before="120"/>
        <w:ind w:left="-567" w:right="-57" w:firstLine="0"/>
        <w:jc w:val="both"/>
        <w:rPr>
          <w:sz w:val="24"/>
        </w:rPr>
      </w:pPr>
      <w:r>
        <w:rPr>
          <w:sz w:val="24"/>
        </w:rPr>
        <w:t>Если Вы случайно пораните себя - хорошо промокните капли крови и выбросьте тампон.</w:t>
      </w:r>
    </w:p>
    <w:p w14:paraId="4D4D5E6B">
      <w:pPr>
        <w:numPr>
          <w:ilvl w:val="0"/>
          <w:numId w:val="5"/>
        </w:numPr>
        <w:tabs>
          <w:tab w:val="left" w:pos="-567"/>
          <w:tab w:val="clear" w:pos="360"/>
        </w:tabs>
        <w:spacing w:before="120"/>
        <w:ind w:left="-567" w:right="-57" w:firstLine="0"/>
        <w:jc w:val="both"/>
        <w:rPr>
          <w:sz w:val="24"/>
        </w:rPr>
      </w:pPr>
      <w:r>
        <w:rPr>
          <w:sz w:val="24"/>
        </w:rPr>
        <w:t>Если Вы пользуетесь судном, обратитесь к врачу по поводу утилизации мочи.</w:t>
      </w:r>
    </w:p>
    <w:p w14:paraId="3D571438">
      <w:pPr>
        <w:ind w:left="-567" w:right="-58"/>
        <w:jc w:val="both"/>
        <w:rPr>
          <w:sz w:val="24"/>
        </w:rPr>
      </w:pPr>
    </w:p>
    <w:p w14:paraId="2A62A9C1">
      <w:pPr>
        <w:ind w:left="-567" w:right="-58"/>
        <w:jc w:val="both"/>
        <w:rPr>
          <w:sz w:val="24"/>
        </w:rPr>
      </w:pPr>
    </w:p>
    <w:p w14:paraId="3900BCC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-567" w:right="-58"/>
        <w:jc w:val="both"/>
        <w:rPr>
          <w:b/>
          <w:sz w:val="24"/>
        </w:rPr>
      </w:pPr>
      <w:r>
        <w:rPr>
          <w:b/>
          <w:sz w:val="24"/>
        </w:rPr>
        <w:t xml:space="preserve">Что входит в состав </w:t>
      </w:r>
      <w:r>
        <w:rPr>
          <w:b/>
          <w:bCs/>
          <w:sz w:val="24"/>
        </w:rPr>
        <w:t>Самарий, </w:t>
      </w:r>
      <w:r>
        <w:rPr>
          <w:b/>
          <w:bCs/>
          <w:sz w:val="24"/>
          <w:vertAlign w:val="superscript"/>
        </w:rPr>
        <w:t>153</w:t>
      </w:r>
      <w:r>
        <w:rPr>
          <w:b/>
          <w:bCs/>
          <w:sz w:val="24"/>
        </w:rPr>
        <w:t>Sm оксабифор</w:t>
      </w:r>
      <w:r>
        <w:rPr>
          <w:b/>
          <w:sz w:val="24"/>
        </w:rPr>
        <w:t>?</w:t>
      </w:r>
    </w:p>
    <w:p w14:paraId="3CFA4FE0">
      <w:pPr>
        <w:ind w:left="-567" w:right="-58"/>
        <w:jc w:val="both"/>
        <w:rPr>
          <w:sz w:val="24"/>
        </w:rPr>
      </w:pPr>
    </w:p>
    <w:p w14:paraId="6B62F4CD">
      <w:pPr>
        <w:ind w:left="-567" w:right="-58"/>
        <w:jc w:val="both"/>
        <w:rPr>
          <w:sz w:val="24"/>
        </w:rPr>
      </w:pPr>
      <w:r>
        <w:rPr>
          <w:sz w:val="24"/>
        </w:rPr>
        <w:t>В 1 мл раствора содержится</w:t>
      </w:r>
    </w:p>
    <w:tbl>
      <w:tblPr>
        <w:tblStyle w:val="9"/>
        <w:tblW w:w="500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43"/>
        <w:gridCol w:w="2298"/>
      </w:tblGrid>
      <w:tr w14:paraId="3BDF83A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noWrap w:val="0"/>
            <w:tcMar>
              <w:top w:w="41" w:type="dxa"/>
              <w:left w:w="68" w:type="dxa"/>
              <w:bottom w:w="41" w:type="dxa"/>
              <w:right w:w="68" w:type="dxa"/>
            </w:tcMar>
            <w:vAlign w:val="center"/>
          </w:tcPr>
          <w:p w14:paraId="55E42425">
            <w:pPr>
              <w:spacing w:before="68" w:after="68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самарий-153</w:t>
            </w:r>
          </w:p>
        </w:tc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noWrap w:val="0"/>
            <w:tcMar>
              <w:top w:w="41" w:type="dxa"/>
              <w:left w:w="68" w:type="dxa"/>
              <w:bottom w:w="41" w:type="dxa"/>
              <w:right w:w="68" w:type="dxa"/>
            </w:tcMar>
            <w:vAlign w:val="center"/>
          </w:tcPr>
          <w:p w14:paraId="70A30009">
            <w:pPr>
              <w:spacing w:before="68" w:after="68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240-1500 МБк</w:t>
            </w:r>
          </w:p>
        </w:tc>
      </w:tr>
      <w:tr w14:paraId="3968A5C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noWrap w:val="0"/>
            <w:tcMar>
              <w:top w:w="41" w:type="dxa"/>
              <w:left w:w="68" w:type="dxa"/>
              <w:bottom w:w="41" w:type="dxa"/>
              <w:right w:w="68" w:type="dxa"/>
            </w:tcMar>
            <w:vAlign w:val="center"/>
          </w:tcPr>
          <w:p w14:paraId="2880212A">
            <w:pPr>
              <w:spacing w:before="68" w:after="68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самарий (в форме самария оксабифора)</w:t>
            </w:r>
          </w:p>
        </w:tc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noWrap w:val="0"/>
            <w:tcMar>
              <w:top w:w="41" w:type="dxa"/>
              <w:left w:w="68" w:type="dxa"/>
              <w:bottom w:w="41" w:type="dxa"/>
              <w:right w:w="68" w:type="dxa"/>
            </w:tcMar>
            <w:vAlign w:val="center"/>
          </w:tcPr>
          <w:p w14:paraId="74922C02">
            <w:pPr>
              <w:spacing w:before="68" w:after="68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62.5 мкг</w:t>
            </w:r>
          </w:p>
        </w:tc>
      </w:tr>
      <w:tr w14:paraId="133846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noWrap w:val="0"/>
            <w:tcMar>
              <w:top w:w="41" w:type="dxa"/>
              <w:left w:w="68" w:type="dxa"/>
              <w:bottom w:w="41" w:type="dxa"/>
              <w:right w:w="68" w:type="dxa"/>
            </w:tcMar>
            <w:vAlign w:val="center"/>
          </w:tcPr>
          <w:p w14:paraId="7435C260">
            <w:pPr>
              <w:spacing w:before="68" w:after="68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натрия оксабифор</w:t>
            </w:r>
          </w:p>
        </w:tc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noWrap w:val="0"/>
            <w:tcMar>
              <w:top w:w="41" w:type="dxa"/>
              <w:left w:w="68" w:type="dxa"/>
              <w:bottom w:w="41" w:type="dxa"/>
              <w:right w:w="68" w:type="dxa"/>
            </w:tcMar>
            <w:vAlign w:val="center"/>
          </w:tcPr>
          <w:p w14:paraId="45238B09">
            <w:pPr>
              <w:spacing w:before="68" w:after="68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20 мг</w:t>
            </w:r>
          </w:p>
        </w:tc>
      </w:tr>
    </w:tbl>
    <w:p w14:paraId="6F450E5B">
      <w:pPr>
        <w:ind w:left="-567" w:right="-58"/>
        <w:jc w:val="both"/>
        <w:rPr>
          <w:sz w:val="24"/>
        </w:rPr>
      </w:pPr>
      <w:r>
        <w:rPr>
          <w:sz w:val="24"/>
        </w:rPr>
        <w:t>.</w:t>
      </w:r>
    </w:p>
    <w:p w14:paraId="31E2AED1">
      <w:pPr>
        <w:ind w:left="-567" w:right="-58"/>
        <w:jc w:val="both"/>
        <w:rPr>
          <w:sz w:val="24"/>
        </w:rPr>
      </w:pPr>
    </w:p>
    <w:p w14:paraId="7CEF2E39">
      <w:pPr>
        <w:ind w:left="-567" w:right="-58"/>
        <w:jc w:val="both"/>
        <w:rPr>
          <w:sz w:val="24"/>
        </w:rPr>
      </w:pPr>
    </w:p>
    <w:p w14:paraId="08EA0C80">
      <w:pPr>
        <w:ind w:left="-567" w:right="-58"/>
        <w:jc w:val="both"/>
        <w:rPr>
          <w:sz w:val="24"/>
        </w:rPr>
      </w:pPr>
      <w:r>
        <w:rPr>
          <w:sz w:val="24"/>
        </w:rPr>
        <w:br w:type="page"/>
      </w:r>
    </w:p>
    <w:p w14:paraId="0ECF6D61">
      <w:pPr>
        <w:ind w:left="-567" w:right="-58"/>
        <w:jc w:val="both"/>
        <w:rPr>
          <w:sz w:val="24"/>
        </w:rPr>
      </w:pPr>
    </w:p>
    <w:p w14:paraId="241D8A66">
      <w:pPr>
        <w:ind w:left="-567" w:right="-58"/>
        <w:jc w:val="both"/>
        <w:rPr>
          <w:sz w:val="24"/>
        </w:rPr>
      </w:pPr>
    </w:p>
    <w:p w14:paraId="163CD9A3">
      <w:pPr>
        <w:ind w:left="-567" w:right="-58"/>
        <w:jc w:val="both"/>
        <w:rPr>
          <w:sz w:val="24"/>
        </w:rPr>
      </w:pPr>
    </w:p>
    <w:p w14:paraId="5CD2F8B4">
      <w:pPr>
        <w:ind w:left="-567" w:right="-58"/>
        <w:jc w:val="both"/>
        <w:rPr>
          <w:sz w:val="24"/>
        </w:rPr>
      </w:pPr>
    </w:p>
    <w:p w14:paraId="08B4A6EF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  <w:r>
        <w:rPr>
          <w:b/>
          <w:sz w:val="24"/>
          <w:u w:val="single"/>
          <w:lang/>
        </w:rPr>
        <w:pict>
          <v:rect id="_x0000_s1027" o:spid="_x0000_s1027" o:spt="1" style="position:absolute;left:0pt;margin-left:3.6pt;margin-top:9.2pt;height:633.6pt;width:403.2pt;z-index:251659264;mso-width-relative:page;mso-height-relative:page;" coordsize="21600,21600" o:allowincell="f">
            <v:path/>
            <v:fill focussize="0,0"/>
            <v:stroke/>
            <v:imagedata o:title=""/>
            <o:lock v:ext="edit"/>
            <v:textbox>
              <w:txbxContent>
                <w:p w14:paraId="547505F2"/>
                <w:p w14:paraId="044661DB"/>
                <w:p w14:paraId="2E6384EA"/>
                <w:p w14:paraId="1C3A7EF9"/>
                <w:p w14:paraId="1122ADFB"/>
                <w:p w14:paraId="67B7B8CB">
                  <w:pPr>
                    <w:pStyle w:val="3"/>
                    <w:rPr>
                      <w:sz w:val="44"/>
                    </w:rPr>
                  </w:pPr>
                  <w:r>
                    <w:rPr>
                      <w:sz w:val="44"/>
                    </w:rPr>
                    <w:t>ИНФОРМАЦИЯ</w:t>
                  </w:r>
                </w:p>
                <w:p w14:paraId="27FD441A">
                  <w:pPr>
                    <w:pStyle w:val="7"/>
                  </w:pPr>
                  <w:r>
                    <w:t>ДЛЯ ПАЦИЕНТА</w:t>
                  </w:r>
                </w:p>
                <w:p w14:paraId="18F96205">
                  <w:pPr>
                    <w:jc w:val="center"/>
                    <w:rPr>
                      <w:b/>
                      <w:sz w:val="32"/>
                    </w:rPr>
                  </w:pPr>
                </w:p>
                <w:p w14:paraId="591DEE14">
                  <w:pPr>
                    <w:jc w:val="center"/>
                    <w:rPr>
                      <w:b/>
                      <w:sz w:val="32"/>
                    </w:rPr>
                  </w:pPr>
                </w:p>
                <w:p w14:paraId="2A7BBF1F">
                  <w:pPr>
                    <w:jc w:val="center"/>
                    <w:rPr>
                      <w:b/>
                      <w:sz w:val="32"/>
                    </w:rPr>
                  </w:pPr>
                </w:p>
                <w:p w14:paraId="2C267CA5">
                  <w:pPr>
                    <w:jc w:val="center"/>
                    <w:rPr>
                      <w:b/>
                      <w:sz w:val="32"/>
                    </w:rPr>
                  </w:pPr>
                </w:p>
                <w:p w14:paraId="1123816B">
                  <w:pPr>
                    <w:jc w:val="center"/>
                    <w:rPr>
                      <w:b/>
                      <w:sz w:val="32"/>
                    </w:rPr>
                  </w:pPr>
                </w:p>
                <w:p w14:paraId="0C59A074">
                  <w:pPr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object>
                      <v:shape id="_x0000_i1025" o:spt="75" type="#_x0000_t75" style="height:224.95pt;width:315.5pt;" o:ole="t" fillcolor="#000011" filled="f" stroked="f" coordsize="21600,21600">
                        <v:path/>
                        <v:fill on="f" alignshape="1" focussize="0,0"/>
                        <v:stroke on="f"/>
                        <v:imagedata r:id="rId5" grayscale="f" bilevel="f" o:title=""/>
                        <o:lock v:ext="edit" aspectratio="t"/>
                        <w10:wrap type="none"/>
                        <w10:anchorlock/>
                      </v:shape>
                      <o:OLEObject Type="Embed" ProgID="MS_ClipArt_Gallery" ShapeID="_x0000_i1025" DrawAspect="Content" ObjectID="_1468075725" r:id="rId4">
                        <o:LockedField>false</o:LockedField>
                      </o:OLEObject>
                    </w:object>
                  </w:r>
                </w:p>
                <w:p w14:paraId="4C745D28">
                  <w:pPr>
                    <w:jc w:val="center"/>
                    <w:rPr>
                      <w:b/>
                      <w:sz w:val="32"/>
                    </w:rPr>
                  </w:pPr>
                </w:p>
                <w:p w14:paraId="4445730B">
                  <w:pPr>
                    <w:jc w:val="center"/>
                    <w:rPr>
                      <w:b/>
                      <w:sz w:val="32"/>
                    </w:rPr>
                  </w:pPr>
                </w:p>
                <w:p w14:paraId="374A7DAC">
                  <w:pPr>
                    <w:jc w:val="center"/>
                    <w:rPr>
                      <w:b/>
                      <w:sz w:val="32"/>
                    </w:rPr>
                  </w:pPr>
                </w:p>
                <w:p w14:paraId="43A73996">
                  <w:pPr>
                    <w:jc w:val="center"/>
                    <w:rPr>
                      <w:b/>
                      <w:sz w:val="32"/>
                    </w:rPr>
                  </w:pPr>
                </w:p>
                <w:p w14:paraId="60D3186A">
                  <w:pPr>
                    <w:jc w:val="center"/>
                    <w:rPr>
                      <w:b/>
                      <w:sz w:val="32"/>
                    </w:rPr>
                  </w:pPr>
                </w:p>
                <w:p w14:paraId="7F186B16">
                  <w:pPr>
                    <w:pStyle w:val="4"/>
                  </w:pPr>
                  <w:r>
                    <w:t xml:space="preserve">Самарий, </w:t>
                  </w:r>
                  <w:r>
                    <w:rPr>
                      <w:vertAlign w:val="superscript"/>
                    </w:rPr>
                    <w:t>153</w:t>
                  </w:r>
                  <w:r>
                    <w:t>Sm оксабифор</w:t>
                  </w:r>
                </w:p>
              </w:txbxContent>
            </v:textbox>
          </v:rect>
        </w:pict>
      </w:r>
    </w:p>
    <w:p w14:paraId="4A797100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20EEE53A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417CCB10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0F7F3F2B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049AD88E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76960A5D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1E31821C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6F5A1B3E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459A1FA5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15766F31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1366A07D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6D534AE7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0BAECF81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11E92C30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20DC5C41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4E512BA0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49008703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656A8663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4B24F1FE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026DAA48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4FE4CD31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2F0224D6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08426EC4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58B6CC22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0301AB9D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78054E6E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5DB32C6D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5B92BD4B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4C0E8F14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052293D5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51C73F8B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1E83033B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02E0F070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1159585F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113F7A59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44B16986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479D7B4B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6D444475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09AD9E28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6A9C84F2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49D4C6C7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2D4DB12B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24ABF228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15D6DC5B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13B230EA"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0"/>
        </w:pBdr>
        <w:jc w:val="both"/>
        <w:rPr>
          <w:b/>
          <w:sz w:val="24"/>
          <w:u w:val="single"/>
        </w:rPr>
      </w:pPr>
    </w:p>
    <w:p w14:paraId="299A16A3">
      <w:pPr>
        <w:jc w:val="both"/>
        <w:rPr>
          <w:b/>
          <w:sz w:val="24"/>
          <w:u w:val="single"/>
        </w:rPr>
      </w:pPr>
    </w:p>
    <w:sectPr>
      <w:pgSz w:w="11906" w:h="16838"/>
      <w:pgMar w:top="1134" w:right="1700" w:bottom="1134" w:left="170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456B79"/>
    <w:multiLevelType w:val="singleLevel"/>
    <w:tmpl w:val="3C456B79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58D05EF8"/>
    <w:multiLevelType w:val="singleLevel"/>
    <w:tmpl w:val="58D05EF8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2">
    <w:nsid w:val="598C1A2D"/>
    <w:multiLevelType w:val="singleLevel"/>
    <w:tmpl w:val="598C1A2D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3">
    <w:nsid w:val="5F4E0165"/>
    <w:multiLevelType w:val="singleLevel"/>
    <w:tmpl w:val="5F4E0165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4">
    <w:nsid w:val="72F27A74"/>
    <w:multiLevelType w:val="singleLevel"/>
    <w:tmpl w:val="72F27A74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isplayHorizontalDrawingGridEvery w:val="0"/>
  <w:displayVerticalDrawingGridEvery w:val="0"/>
  <w:doNotUseMarginsForDrawingGridOrigin w:val="1"/>
  <w:drawingGridHorizontalOrigin w:val="1701"/>
  <w:drawingGridVerticalOrigin w:val="1984"/>
  <w:noPunctuationKerning w:val="1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324E"/>
    <w:rsid w:val="000D066F"/>
    <w:rsid w:val="00470B0E"/>
    <w:rsid w:val="004907D5"/>
    <w:rsid w:val="005B5E04"/>
    <w:rsid w:val="006D0AEE"/>
    <w:rsid w:val="0085324E"/>
    <w:rsid w:val="00A47632"/>
    <w:rsid w:val="00A873FD"/>
    <w:rsid w:val="00AA1CCC"/>
    <w:rsid w:val="00C10576"/>
    <w:rsid w:val="7BCF4C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right"/>
      <w:outlineLvl w:val="0"/>
    </w:pPr>
    <w:rPr>
      <w:b/>
      <w:sz w:val="24"/>
      <w:u w:val="single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36"/>
    </w:rPr>
  </w:style>
  <w:style w:type="paragraph" w:styleId="5">
    <w:name w:val="heading 4"/>
    <w:basedOn w:val="1"/>
    <w:next w:val="1"/>
    <w:qFormat/>
    <w:uiPriority w:val="0"/>
    <w:pPr>
      <w:keepNext/>
      <w:ind w:left="-142"/>
      <w:jc w:val="center"/>
      <w:outlineLvl w:val="3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spacing w:before="120" w:line="360" w:lineRule="auto"/>
      <w:ind w:left="214"/>
      <w:jc w:val="both"/>
      <w:outlineLvl w:val="4"/>
    </w:pPr>
    <w:rPr>
      <w:sz w:val="24"/>
      <w:szCs w:val="24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sz w:val="44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10">
    <w:name w:val="Body Text"/>
    <w:basedOn w:val="1"/>
    <w:uiPriority w:val="0"/>
    <w:pPr>
      <w:autoSpaceDE w:val="0"/>
      <w:autoSpaceDN w:val="0"/>
      <w:jc w:val="both"/>
    </w:pPr>
    <w:rPr>
      <w:sz w:val="24"/>
      <w:szCs w:val="24"/>
    </w:rPr>
  </w:style>
  <w:style w:type="paragraph" w:customStyle="1" w:styleId="11">
    <w:name w:val="заголовок 1"/>
    <w:basedOn w:val="1"/>
    <w:next w:val="1"/>
    <w:uiPriority w:val="0"/>
    <w:pPr>
      <w:keepNext/>
      <w:autoSpaceDE w:val="0"/>
      <w:autoSpaceDN w:val="0"/>
      <w:jc w:val="right"/>
    </w:pPr>
    <w:rPr>
      <w:b/>
      <w:bCs/>
      <w:sz w:val="24"/>
      <w:szCs w:val="24"/>
      <w:u w:val="single"/>
    </w:rPr>
  </w:style>
  <w:style w:type="paragraph" w:customStyle="1" w:styleId="12">
    <w:name w:val="заголовок 2"/>
    <w:basedOn w:val="1"/>
    <w:next w:val="1"/>
    <w:uiPriority w:val="0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13">
    <w:name w:val="заголовок 3"/>
    <w:basedOn w:val="1"/>
    <w:next w:val="1"/>
    <w:uiPriority w:val="0"/>
    <w:pPr>
      <w:keepNext/>
      <w:autoSpaceDE w:val="0"/>
      <w:autoSpaceDN w:val="0"/>
      <w:jc w:val="center"/>
    </w:pPr>
    <w:rPr>
      <w:b/>
      <w:bCs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MYTHS</Company>
  <Pages>3</Pages>
  <Words>450</Words>
  <Characters>2565</Characters>
  <Lines>21</Lines>
  <Paragraphs>6</Paragraphs>
  <TotalTime>0</TotalTime>
  <ScaleCrop>false</ScaleCrop>
  <LinksUpToDate>false</LinksUpToDate>
  <CharactersWithSpaces>3009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2001-11-09T10:47:00Z</dcterms:created>
  <dc:creator>SENYA</dc:creator>
  <cp:lastModifiedBy>google1580998364</cp:lastModifiedBy>
  <cp:lastPrinted>2020-05-21T04:51:00Z</cp:lastPrinted>
  <dcterms:modified xsi:type="dcterms:W3CDTF">2024-11-05T12:43:18Z</dcterms:modified>
  <dc:title>АМЕРШАМ ИНТЕРНЭШНЛ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3843402378E9458FA520F9714080E658_13</vt:lpwstr>
  </property>
</Properties>
</file>